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4E" w:rsidRDefault="00614A4E" w:rsidP="00650A91">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lang w:eastAsia="it-IT"/>
        </w:rPr>
      </w:pPr>
      <w:r>
        <w:rPr>
          <w:rFonts w:ascii="Times New Roman" w:eastAsia="Times New Roman" w:hAnsi="Times New Roman" w:cs="Times New Roman"/>
          <w:b/>
          <w:bCs/>
          <w:noProof/>
          <w:color w:val="943634" w:themeColor="accent2" w:themeShade="BF"/>
          <w:kern w:val="36"/>
          <w:sz w:val="48"/>
          <w:szCs w:val="48"/>
          <w:lang w:eastAsia="it-IT"/>
        </w:rPr>
        <w:drawing>
          <wp:anchor distT="0" distB="0" distL="114300" distR="114300" simplePos="0" relativeHeight="251661312" behindDoc="1" locked="0" layoutInCell="1" allowOverlap="1">
            <wp:simplePos x="0" y="0"/>
            <wp:positionH relativeFrom="column">
              <wp:posOffset>432435</wp:posOffset>
            </wp:positionH>
            <wp:positionV relativeFrom="paragraph">
              <wp:posOffset>43180</wp:posOffset>
            </wp:positionV>
            <wp:extent cx="1800225" cy="1333500"/>
            <wp:effectExtent l="19050" t="0" r="9525" b="0"/>
            <wp:wrapTight wrapText="bothSides">
              <wp:wrapPolygon edited="0">
                <wp:start x="-229" y="0"/>
                <wp:lineTo x="-229" y="21291"/>
                <wp:lineTo x="21714" y="21291"/>
                <wp:lineTo x="21714" y="0"/>
                <wp:lineTo x="-229" y="0"/>
              </wp:wrapPolygon>
            </wp:wrapTight>
            <wp:docPr id="14" name="Immagine 13" descr="i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logo.jpg"/>
                    <pic:cNvPicPr/>
                  </pic:nvPicPr>
                  <pic:blipFill>
                    <a:blip r:embed="rId5" cstate="print"/>
                    <a:stretch>
                      <a:fillRect/>
                    </a:stretch>
                  </pic:blipFill>
                  <pic:spPr>
                    <a:xfrm>
                      <a:off x="0" y="0"/>
                      <a:ext cx="1800225" cy="1333500"/>
                    </a:xfrm>
                    <a:prstGeom prst="rect">
                      <a:avLst/>
                    </a:prstGeom>
                  </pic:spPr>
                </pic:pic>
              </a:graphicData>
            </a:graphic>
          </wp:anchor>
        </w:drawing>
      </w:r>
    </w:p>
    <w:p w:rsidR="00614A4E" w:rsidRDefault="00614A4E" w:rsidP="00650A91">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lang w:eastAsia="it-IT"/>
        </w:rPr>
      </w:pPr>
    </w:p>
    <w:p w:rsidR="00614A4E" w:rsidRDefault="00614A4E" w:rsidP="00650A91">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lang w:eastAsia="it-IT"/>
        </w:rPr>
      </w:pPr>
    </w:p>
    <w:p w:rsidR="00614A4E" w:rsidRDefault="00614A4E" w:rsidP="00614A4E">
      <w:pPr>
        <w:spacing w:before="100" w:beforeAutospacing="1" w:after="100" w:afterAutospacing="1" w:line="240" w:lineRule="auto"/>
        <w:jc w:val="center"/>
        <w:outlineLvl w:val="0"/>
        <w:rPr>
          <w:rFonts w:eastAsia="Times New Roman" w:cstheme="minorHAnsi"/>
          <w:b/>
          <w:bCs/>
          <w:color w:val="4F6228" w:themeColor="accent3" w:themeShade="80"/>
          <w:kern w:val="36"/>
          <w:sz w:val="44"/>
          <w:szCs w:val="48"/>
          <w:lang w:eastAsia="it-IT"/>
        </w:rPr>
      </w:pPr>
      <w:r>
        <w:rPr>
          <w:rFonts w:eastAsia="Times New Roman" w:cstheme="minorHAnsi"/>
          <w:b/>
          <w:bCs/>
          <w:color w:val="4F6228" w:themeColor="accent3" w:themeShade="80"/>
          <w:kern w:val="36"/>
          <w:sz w:val="44"/>
          <w:szCs w:val="48"/>
          <w:lang w:eastAsia="it-IT"/>
        </w:rPr>
        <w:t>====================</w:t>
      </w:r>
    </w:p>
    <w:p w:rsidR="00614A4E" w:rsidRDefault="00614A4E" w:rsidP="00614A4E">
      <w:pPr>
        <w:spacing w:before="100" w:beforeAutospacing="1" w:after="100" w:afterAutospacing="1" w:line="240" w:lineRule="auto"/>
        <w:jc w:val="center"/>
        <w:outlineLvl w:val="0"/>
        <w:rPr>
          <w:rFonts w:eastAsia="Times New Roman" w:cstheme="minorHAnsi"/>
          <w:b/>
          <w:bCs/>
          <w:color w:val="4F6228" w:themeColor="accent3" w:themeShade="80"/>
          <w:kern w:val="36"/>
          <w:sz w:val="44"/>
          <w:szCs w:val="48"/>
          <w:lang w:eastAsia="it-IT"/>
        </w:rPr>
      </w:pPr>
      <w:r w:rsidRPr="00614A4E">
        <w:rPr>
          <w:rFonts w:eastAsia="Times New Roman" w:cstheme="minorHAnsi"/>
          <w:b/>
          <w:bCs/>
          <w:color w:val="4F6228" w:themeColor="accent3" w:themeShade="80"/>
          <w:kern w:val="36"/>
          <w:sz w:val="44"/>
          <w:szCs w:val="48"/>
          <w:lang w:eastAsia="it-IT"/>
        </w:rPr>
        <w:t xml:space="preserve">Colaianni </w:t>
      </w:r>
      <w:r>
        <w:rPr>
          <w:rFonts w:eastAsia="Times New Roman" w:cstheme="minorHAnsi"/>
          <w:b/>
          <w:bCs/>
          <w:color w:val="4F6228" w:themeColor="accent3" w:themeShade="80"/>
          <w:kern w:val="36"/>
          <w:sz w:val="44"/>
          <w:szCs w:val="48"/>
          <w:lang w:eastAsia="it-IT"/>
        </w:rPr>
        <w:t xml:space="preserve">Consulting </w:t>
      </w:r>
      <w:r w:rsidRPr="00614A4E">
        <w:rPr>
          <w:rFonts w:eastAsia="Times New Roman" w:cstheme="minorHAnsi"/>
          <w:b/>
          <w:bCs/>
          <w:color w:val="4F6228" w:themeColor="accent3" w:themeShade="80"/>
          <w:kern w:val="36"/>
          <w:sz w:val="44"/>
          <w:szCs w:val="48"/>
          <w:lang w:eastAsia="it-IT"/>
        </w:rPr>
        <w:t>Informa</w:t>
      </w:r>
      <w:r>
        <w:rPr>
          <w:rFonts w:eastAsia="Times New Roman" w:cstheme="minorHAnsi"/>
          <w:b/>
          <w:bCs/>
          <w:color w:val="4F6228" w:themeColor="accent3" w:themeShade="80"/>
          <w:kern w:val="36"/>
          <w:sz w:val="44"/>
          <w:szCs w:val="48"/>
          <w:lang w:eastAsia="it-IT"/>
        </w:rPr>
        <w:t xml:space="preserve"> </w:t>
      </w:r>
      <w:proofErr w:type="spellStart"/>
      <w:r w:rsidR="00D3303D">
        <w:rPr>
          <w:rFonts w:eastAsia="Times New Roman" w:cstheme="minorHAnsi"/>
          <w:b/>
          <w:bCs/>
          <w:color w:val="4F6228" w:themeColor="accent3" w:themeShade="80"/>
          <w:kern w:val="36"/>
          <w:sz w:val="44"/>
          <w:szCs w:val="48"/>
          <w:lang w:eastAsia="it-IT"/>
        </w:rPr>
        <w:t>n°</w:t>
      </w:r>
      <w:proofErr w:type="spellEnd"/>
      <w:r w:rsidR="00D3303D">
        <w:rPr>
          <w:rFonts w:eastAsia="Times New Roman" w:cstheme="minorHAnsi"/>
          <w:b/>
          <w:bCs/>
          <w:color w:val="4F6228" w:themeColor="accent3" w:themeShade="80"/>
          <w:kern w:val="36"/>
          <w:sz w:val="44"/>
          <w:szCs w:val="48"/>
          <w:lang w:eastAsia="it-IT"/>
        </w:rPr>
        <w:t xml:space="preserve"> 2</w:t>
      </w:r>
      <w:r w:rsidRPr="00614A4E">
        <w:rPr>
          <w:rFonts w:eastAsia="Times New Roman" w:cstheme="minorHAnsi"/>
          <w:b/>
          <w:bCs/>
          <w:color w:val="4F6228" w:themeColor="accent3" w:themeShade="80"/>
          <w:kern w:val="36"/>
          <w:sz w:val="44"/>
          <w:szCs w:val="48"/>
          <w:lang w:eastAsia="it-IT"/>
        </w:rPr>
        <w:t xml:space="preserve"> </w:t>
      </w:r>
      <w:r>
        <w:rPr>
          <w:rFonts w:eastAsia="Times New Roman" w:cstheme="minorHAnsi"/>
          <w:b/>
          <w:bCs/>
          <w:color w:val="4F6228" w:themeColor="accent3" w:themeShade="80"/>
          <w:kern w:val="36"/>
          <w:sz w:val="44"/>
          <w:szCs w:val="48"/>
          <w:lang w:eastAsia="it-IT"/>
        </w:rPr>
        <w:t>/</w:t>
      </w:r>
      <w:r w:rsidR="00B15042">
        <w:rPr>
          <w:rFonts w:eastAsia="Times New Roman" w:cstheme="minorHAnsi"/>
          <w:b/>
          <w:bCs/>
          <w:color w:val="4F6228" w:themeColor="accent3" w:themeShade="80"/>
          <w:kern w:val="36"/>
          <w:sz w:val="44"/>
          <w:szCs w:val="48"/>
          <w:lang w:eastAsia="it-IT"/>
        </w:rPr>
        <w:t xml:space="preserve"> </w:t>
      </w:r>
      <w:r w:rsidR="001D16D2">
        <w:rPr>
          <w:rFonts w:eastAsia="Times New Roman" w:cstheme="minorHAnsi"/>
          <w:b/>
          <w:bCs/>
          <w:color w:val="4F6228" w:themeColor="accent3" w:themeShade="80"/>
          <w:kern w:val="36"/>
          <w:sz w:val="44"/>
          <w:szCs w:val="48"/>
          <w:lang w:eastAsia="it-IT"/>
        </w:rPr>
        <w:t>20</w:t>
      </w:r>
      <w:r>
        <w:rPr>
          <w:rFonts w:eastAsia="Times New Roman" w:cstheme="minorHAnsi"/>
          <w:b/>
          <w:bCs/>
          <w:color w:val="4F6228" w:themeColor="accent3" w:themeShade="80"/>
          <w:kern w:val="36"/>
          <w:sz w:val="44"/>
          <w:szCs w:val="48"/>
          <w:lang w:eastAsia="it-IT"/>
        </w:rPr>
        <w:t>1</w:t>
      </w:r>
      <w:r w:rsidR="001D16D2">
        <w:rPr>
          <w:rFonts w:eastAsia="Times New Roman" w:cstheme="minorHAnsi"/>
          <w:b/>
          <w:bCs/>
          <w:color w:val="4F6228" w:themeColor="accent3" w:themeShade="80"/>
          <w:kern w:val="36"/>
          <w:sz w:val="44"/>
          <w:szCs w:val="48"/>
          <w:lang w:eastAsia="it-IT"/>
        </w:rPr>
        <w:t>1</w:t>
      </w:r>
    </w:p>
    <w:p w:rsidR="00614A4E" w:rsidRDefault="00614A4E" w:rsidP="00614A4E">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48"/>
          <w:szCs w:val="48"/>
          <w:lang w:eastAsia="it-IT"/>
        </w:rPr>
      </w:pPr>
      <w:r>
        <w:rPr>
          <w:rFonts w:ascii="Times New Roman" w:eastAsia="Times New Roman" w:hAnsi="Times New Roman" w:cs="Times New Roman"/>
          <w:b/>
          <w:bCs/>
          <w:color w:val="943634" w:themeColor="accent2" w:themeShade="BF"/>
          <w:kern w:val="36"/>
          <w:sz w:val="48"/>
          <w:szCs w:val="48"/>
          <w:lang w:eastAsia="it-IT"/>
        </w:rPr>
        <w:t>================</w:t>
      </w:r>
    </w:p>
    <w:p w:rsidR="00AE5AC0" w:rsidRPr="00996DA2" w:rsidRDefault="00AE5AC0" w:rsidP="00996DA2">
      <w:pPr>
        <w:pStyle w:val="Paragrafoelenco"/>
        <w:numPr>
          <w:ilvl w:val="0"/>
          <w:numId w:val="12"/>
        </w:numPr>
        <w:shd w:val="clear" w:color="auto" w:fill="FFFFFF"/>
        <w:spacing w:before="50" w:after="50" w:line="159" w:lineRule="atLeast"/>
        <w:outlineLvl w:val="0"/>
        <w:rPr>
          <w:rFonts w:ascii="Tahoma" w:eastAsia="Times New Roman" w:hAnsi="Tahoma" w:cs="Tahoma"/>
          <w:b/>
          <w:bCs/>
          <w:color w:val="FF0000"/>
          <w:kern w:val="36"/>
          <w:sz w:val="28"/>
          <w:szCs w:val="28"/>
          <w:lang w:eastAsia="it-IT"/>
        </w:rPr>
      </w:pPr>
      <w:r w:rsidRPr="00996DA2">
        <w:rPr>
          <w:rFonts w:ascii="Tahoma" w:eastAsia="Times New Roman" w:hAnsi="Tahoma" w:cs="Tahoma"/>
          <w:b/>
          <w:bCs/>
          <w:color w:val="FF0000"/>
          <w:kern w:val="36"/>
          <w:sz w:val="28"/>
          <w:szCs w:val="28"/>
          <w:lang w:eastAsia="it-IT"/>
        </w:rPr>
        <w:t>Marcatura CE obbligatoria per i maniglioni antipanico</w:t>
      </w:r>
    </w:p>
    <w:p w:rsidR="00AE5AC0" w:rsidRPr="00F635BF" w:rsidRDefault="00AE5AC0" w:rsidP="00AE5AC0">
      <w:pPr>
        <w:shd w:val="clear" w:color="auto" w:fill="FFFFFF"/>
        <w:spacing w:before="50" w:after="50" w:line="159" w:lineRule="atLeast"/>
        <w:outlineLvl w:val="0"/>
        <w:rPr>
          <w:rFonts w:ascii="Tahoma" w:eastAsia="Times New Roman" w:hAnsi="Tahoma" w:cs="Tahoma"/>
          <w:b/>
          <w:bCs/>
          <w:color w:val="FF0000"/>
          <w:kern w:val="36"/>
          <w:sz w:val="28"/>
          <w:szCs w:val="28"/>
          <w:lang w:eastAsia="it-IT"/>
        </w:rPr>
      </w:pPr>
    </w:p>
    <w:p w:rsidR="00AE5AC0" w:rsidRPr="00F635BF" w:rsidRDefault="00AE5AC0" w:rsidP="00AE5AC0">
      <w:pPr>
        <w:shd w:val="clear" w:color="auto" w:fill="FFFFFF"/>
        <w:spacing w:after="0" w:line="360" w:lineRule="auto"/>
        <w:jc w:val="both"/>
        <w:rPr>
          <w:rFonts w:ascii="Tahoma" w:eastAsia="Times New Roman" w:hAnsi="Tahoma" w:cs="Tahoma"/>
          <w:szCs w:val="24"/>
          <w:lang w:eastAsia="it-IT"/>
        </w:rPr>
      </w:pPr>
      <w:r w:rsidRPr="00F635BF">
        <w:rPr>
          <w:rFonts w:ascii="Tahoma" w:eastAsia="Times New Roman" w:hAnsi="Tahoma" w:cs="Tahoma"/>
          <w:szCs w:val="24"/>
          <w:lang w:eastAsia="it-IT"/>
        </w:rPr>
        <w:t>Il DM 3 novembre 2004 (disposizioni relative all’installazione ed alla manutenzione dei dispositivi per l’apertura delle porte installate lungo le vie di esodo, relativamente alla sicurezza in caso d’incendio) prevede un periodo transitorio di 6 anni per la sostituzione dei maniglioni antipanico con quelli marcati CE.</w:t>
      </w:r>
      <w:r>
        <w:rPr>
          <w:rFonts w:ascii="Tahoma" w:eastAsia="Times New Roman" w:hAnsi="Tahoma" w:cs="Tahoma"/>
          <w:szCs w:val="24"/>
          <w:lang w:eastAsia="it-IT"/>
        </w:rPr>
        <w:t xml:space="preserve"> </w:t>
      </w:r>
      <w:r w:rsidRPr="00AE5AC0">
        <w:rPr>
          <w:rFonts w:ascii="Tahoma" w:eastAsia="Times New Roman" w:hAnsi="Tahoma" w:cs="Tahoma"/>
          <w:b/>
          <w:bCs/>
          <w:szCs w:val="24"/>
          <w:lang w:eastAsia="it-IT"/>
        </w:rPr>
        <w:t>Tale periodo scadrà il prossimo 16 febbraio 2011.</w:t>
      </w:r>
    </w:p>
    <w:p w:rsidR="00AE5AC0" w:rsidRPr="00F635BF" w:rsidRDefault="00AE5AC0" w:rsidP="00AE5AC0">
      <w:pPr>
        <w:shd w:val="clear" w:color="auto" w:fill="FFFFFF"/>
        <w:spacing w:after="0" w:line="360" w:lineRule="auto"/>
        <w:jc w:val="both"/>
        <w:rPr>
          <w:rFonts w:ascii="Tahoma" w:eastAsia="Times New Roman" w:hAnsi="Tahoma" w:cs="Tahoma"/>
          <w:szCs w:val="24"/>
          <w:lang w:eastAsia="it-IT"/>
        </w:rPr>
      </w:pPr>
      <w:r w:rsidRPr="00F635BF">
        <w:rPr>
          <w:rFonts w:ascii="Tahoma" w:eastAsia="Times New Roman" w:hAnsi="Tahoma" w:cs="Tahoma"/>
          <w:szCs w:val="24"/>
          <w:lang w:eastAsia="it-IT"/>
        </w:rPr>
        <w:br/>
        <w:t>Tutte le aziende assemblatrici dovranno sostituire le maniglie sopracitate con quelle marcate CE. Le aziende produttrici, invece, dovranno testare i propri prodotti per essere in regola con la Marcatura CE.</w:t>
      </w:r>
    </w:p>
    <w:p w:rsidR="00AE5AC0" w:rsidRPr="00F635BF" w:rsidRDefault="00AE5AC0" w:rsidP="00AE5AC0">
      <w:pPr>
        <w:shd w:val="clear" w:color="auto" w:fill="FFFFFF"/>
        <w:spacing w:after="0" w:line="360" w:lineRule="auto"/>
        <w:jc w:val="both"/>
        <w:rPr>
          <w:rFonts w:ascii="Tahoma" w:eastAsia="Times New Roman" w:hAnsi="Tahoma" w:cs="Tahoma"/>
          <w:szCs w:val="24"/>
          <w:lang w:eastAsia="it-IT"/>
        </w:rPr>
      </w:pPr>
      <w:r w:rsidRPr="00F635BF">
        <w:rPr>
          <w:rFonts w:ascii="Tahoma" w:eastAsia="Times New Roman" w:hAnsi="Tahoma" w:cs="Tahoma"/>
          <w:szCs w:val="24"/>
          <w:lang w:eastAsia="it-IT"/>
        </w:rPr>
        <w:t> </w:t>
      </w:r>
    </w:p>
    <w:p w:rsidR="00AE5AC0" w:rsidRPr="00F635BF" w:rsidRDefault="0000585D" w:rsidP="00AE5AC0">
      <w:pPr>
        <w:shd w:val="clear" w:color="auto" w:fill="FFFFFF"/>
        <w:spacing w:after="0" w:line="360" w:lineRule="auto"/>
        <w:jc w:val="both"/>
        <w:rPr>
          <w:rFonts w:ascii="Tahoma" w:eastAsia="Times New Roman" w:hAnsi="Tahoma" w:cs="Tahoma"/>
          <w:szCs w:val="24"/>
          <w:lang w:eastAsia="it-IT"/>
        </w:rPr>
      </w:pPr>
      <w:r>
        <w:rPr>
          <w:rFonts w:ascii="Tahoma" w:eastAsia="Times New Roman" w:hAnsi="Tahoma" w:cs="Tahoma"/>
          <w:b/>
          <w:bCs/>
          <w:i/>
          <w:iCs/>
          <w:szCs w:val="24"/>
          <w:lang w:eastAsia="it-IT"/>
        </w:rPr>
        <w:t xml:space="preserve">DM 3/11 - </w:t>
      </w:r>
      <w:r w:rsidR="00AE5AC0" w:rsidRPr="00AE5AC0">
        <w:rPr>
          <w:rFonts w:ascii="Tahoma" w:eastAsia="Times New Roman" w:hAnsi="Tahoma" w:cs="Tahoma"/>
          <w:b/>
          <w:bCs/>
          <w:i/>
          <w:iCs/>
          <w:szCs w:val="24"/>
          <w:lang w:eastAsia="it-IT"/>
        </w:rPr>
        <w:t xml:space="preserve"> Art.5</w:t>
      </w:r>
    </w:p>
    <w:p w:rsidR="00AE5AC0" w:rsidRPr="00F635BF" w:rsidRDefault="00AE5AC0" w:rsidP="00AE5AC0">
      <w:pPr>
        <w:shd w:val="clear" w:color="auto" w:fill="FFFFFF"/>
        <w:spacing w:after="0" w:line="360" w:lineRule="auto"/>
        <w:jc w:val="both"/>
        <w:rPr>
          <w:rFonts w:ascii="Tahoma" w:eastAsia="Times New Roman" w:hAnsi="Tahoma" w:cs="Tahoma"/>
          <w:color w:val="FF0000"/>
          <w:szCs w:val="24"/>
          <w:lang w:eastAsia="it-IT"/>
        </w:rPr>
      </w:pPr>
      <w:r w:rsidRPr="0000585D">
        <w:rPr>
          <w:rFonts w:ascii="Tahoma" w:eastAsia="Times New Roman" w:hAnsi="Tahoma" w:cs="Tahoma"/>
          <w:b/>
          <w:bCs/>
          <w:i/>
          <w:iCs/>
          <w:color w:val="FF0000"/>
          <w:szCs w:val="24"/>
          <w:lang w:eastAsia="it-IT"/>
        </w:rPr>
        <w:lastRenderedPageBreak/>
        <w:t>Termini attuativi e disposizioni transitorie.</w:t>
      </w:r>
    </w:p>
    <w:p w:rsidR="00AE5AC0" w:rsidRPr="00F635BF" w:rsidRDefault="00AE5AC0" w:rsidP="00AE5AC0">
      <w:pPr>
        <w:shd w:val="clear" w:color="auto" w:fill="FFFFFF"/>
        <w:spacing w:after="0" w:line="360" w:lineRule="auto"/>
        <w:jc w:val="both"/>
        <w:rPr>
          <w:rFonts w:ascii="Tahoma" w:eastAsia="Times New Roman" w:hAnsi="Tahoma" w:cs="Tahoma"/>
          <w:szCs w:val="24"/>
          <w:u w:val="single"/>
          <w:lang w:eastAsia="it-IT"/>
        </w:rPr>
      </w:pPr>
      <w:r w:rsidRPr="0080055A">
        <w:rPr>
          <w:rFonts w:ascii="Tahoma" w:eastAsia="Times New Roman" w:hAnsi="Tahoma" w:cs="Tahoma"/>
          <w:i/>
          <w:iCs/>
          <w:szCs w:val="24"/>
          <w:u w:val="single"/>
          <w:lang w:eastAsia="it-IT"/>
        </w:rPr>
        <w:t>I dispositivi non muniti di marcatura CE,</w:t>
      </w:r>
      <w:r w:rsidRPr="00AE5AC0">
        <w:rPr>
          <w:rFonts w:ascii="Tahoma" w:eastAsia="Times New Roman" w:hAnsi="Tahoma" w:cs="Tahoma"/>
          <w:i/>
          <w:iCs/>
          <w:szCs w:val="24"/>
          <w:lang w:eastAsia="it-IT"/>
        </w:rPr>
        <w:t xml:space="preserve"> già installati nelle attività di cui all'art. 3 (</w:t>
      </w:r>
      <w:proofErr w:type="spellStart"/>
      <w:r w:rsidRPr="00AE5AC0">
        <w:rPr>
          <w:rFonts w:ascii="Tahoma" w:eastAsia="Times New Roman" w:hAnsi="Tahoma" w:cs="Tahoma"/>
          <w:i/>
          <w:iCs/>
          <w:szCs w:val="24"/>
          <w:lang w:eastAsia="it-IT"/>
        </w:rPr>
        <w:t>n.d.r.</w:t>
      </w:r>
      <w:proofErr w:type="spellEnd"/>
      <w:r w:rsidRPr="00AE5AC0">
        <w:rPr>
          <w:rFonts w:ascii="Tahoma" w:eastAsia="Times New Roman" w:hAnsi="Tahoma" w:cs="Tahoma"/>
          <w:i/>
          <w:iCs/>
          <w:szCs w:val="24"/>
          <w:lang w:eastAsia="it-IT"/>
        </w:rPr>
        <w:t xml:space="preserve"> attività soggette a Certificato Prevenzione Incendio)  del presente decreto, </w:t>
      </w:r>
      <w:r w:rsidRPr="0080055A">
        <w:rPr>
          <w:rFonts w:ascii="Tahoma" w:eastAsia="Times New Roman" w:hAnsi="Tahoma" w:cs="Tahoma"/>
          <w:i/>
          <w:iCs/>
          <w:szCs w:val="24"/>
          <w:u w:val="single"/>
          <w:lang w:eastAsia="it-IT"/>
        </w:rPr>
        <w:t xml:space="preserve">sono sostituiti a cura del titolare in caso di rottura del dispositivo o sostituzione della porta o modifiche dell'attività che comportino un'alterazione peggiorativa delle vie di esodo o entro sei anni dalla data di entrata in vigore del presente decreto. La manutenzione dei dispositivi di cui al comma precedente dovrà comunque garantire il mantenimento della loro funzionalità originaria e dovrà essere effettuato quanto prescritto al punto c.3) dell'art. 4. </w:t>
      </w:r>
    </w:p>
    <w:p w:rsidR="00AE5AC0" w:rsidRPr="00F635BF" w:rsidRDefault="00AE5AC0" w:rsidP="00AE5AC0">
      <w:pPr>
        <w:shd w:val="clear" w:color="auto" w:fill="FFFFFF"/>
        <w:spacing w:after="0" w:line="360" w:lineRule="auto"/>
        <w:jc w:val="both"/>
        <w:rPr>
          <w:rFonts w:ascii="Tahoma" w:eastAsia="Times New Roman" w:hAnsi="Tahoma" w:cs="Tahoma"/>
          <w:szCs w:val="24"/>
          <w:lang w:eastAsia="it-IT"/>
        </w:rPr>
      </w:pPr>
      <w:r w:rsidRPr="00F635BF">
        <w:rPr>
          <w:rFonts w:ascii="Tahoma" w:eastAsia="Times New Roman" w:hAnsi="Tahoma" w:cs="Tahoma"/>
          <w:szCs w:val="24"/>
          <w:lang w:eastAsia="it-IT"/>
        </w:rPr>
        <w:t> </w:t>
      </w:r>
    </w:p>
    <w:p w:rsidR="00AE5AC0" w:rsidRPr="00F635BF" w:rsidRDefault="00AE5AC0" w:rsidP="00AE5AC0">
      <w:pPr>
        <w:shd w:val="clear" w:color="auto" w:fill="FFFFFF"/>
        <w:spacing w:after="0" w:line="360" w:lineRule="auto"/>
        <w:jc w:val="both"/>
        <w:rPr>
          <w:rFonts w:ascii="Tahoma" w:eastAsia="Times New Roman" w:hAnsi="Tahoma" w:cs="Tahoma"/>
          <w:color w:val="FF0000"/>
          <w:szCs w:val="24"/>
          <w:lang w:eastAsia="it-IT"/>
        </w:rPr>
      </w:pPr>
      <w:r w:rsidRPr="0000585D">
        <w:rPr>
          <w:rFonts w:ascii="Tahoma" w:eastAsia="Times New Roman" w:hAnsi="Tahoma" w:cs="Tahoma"/>
          <w:b/>
          <w:bCs/>
          <w:color w:val="FF0000"/>
          <w:szCs w:val="24"/>
          <w:lang w:eastAsia="it-IT"/>
        </w:rPr>
        <w:t>A chi rivolgersi?</w:t>
      </w:r>
      <w:r w:rsidRPr="00F635BF">
        <w:rPr>
          <w:rFonts w:ascii="Tahoma" w:eastAsia="Times New Roman" w:hAnsi="Tahoma" w:cs="Tahoma"/>
          <w:color w:val="FF0000"/>
          <w:szCs w:val="24"/>
          <w:lang w:eastAsia="it-IT"/>
        </w:rPr>
        <w:t xml:space="preserve"> </w:t>
      </w:r>
    </w:p>
    <w:p w:rsidR="0080055A" w:rsidRDefault="00AE5AC0" w:rsidP="00AE5AC0">
      <w:pPr>
        <w:shd w:val="clear" w:color="auto" w:fill="FFFFFF"/>
        <w:spacing w:after="0" w:line="360" w:lineRule="auto"/>
        <w:jc w:val="both"/>
        <w:rPr>
          <w:rFonts w:ascii="Tahoma" w:eastAsia="Times New Roman" w:hAnsi="Tahoma" w:cs="Tahoma"/>
          <w:szCs w:val="24"/>
          <w:lang w:eastAsia="it-IT"/>
        </w:rPr>
      </w:pPr>
      <w:r w:rsidRPr="00F635BF">
        <w:rPr>
          <w:rFonts w:ascii="Tahoma" w:eastAsia="Times New Roman" w:hAnsi="Tahoma" w:cs="Tahoma"/>
          <w:szCs w:val="24"/>
          <w:lang w:eastAsia="it-IT"/>
        </w:rPr>
        <w:t xml:space="preserve">Per ulteriori informazioni potete consultare </w:t>
      </w:r>
      <w:r w:rsidR="0080055A">
        <w:rPr>
          <w:rFonts w:ascii="Tahoma" w:eastAsia="Times New Roman" w:hAnsi="Tahoma" w:cs="Tahoma"/>
          <w:szCs w:val="24"/>
          <w:lang w:eastAsia="it-IT"/>
        </w:rPr>
        <w:t xml:space="preserve"> laboratori</w:t>
      </w:r>
      <w:r w:rsidRPr="00F635BF">
        <w:rPr>
          <w:rFonts w:ascii="Tahoma" w:eastAsia="Times New Roman" w:hAnsi="Tahoma" w:cs="Tahoma"/>
          <w:szCs w:val="24"/>
          <w:lang w:eastAsia="it-IT"/>
        </w:rPr>
        <w:t xml:space="preserve"> per la </w:t>
      </w:r>
      <w:hyperlink r:id="rId6" w:tgtFrame="_blank" w:history="1">
        <w:r w:rsidRPr="00AE5AC0">
          <w:rPr>
            <w:rFonts w:ascii="Times New Roman" w:eastAsia="Times New Roman" w:hAnsi="Times New Roman" w:cs="Times New Roman"/>
            <w:b/>
            <w:bCs/>
            <w:szCs w:val="24"/>
            <w:lang w:eastAsia="it-IT"/>
          </w:rPr>
          <w:t>Marcatura CE dei maniglioni antipanico.</w:t>
        </w:r>
      </w:hyperlink>
      <w:r w:rsidR="0080055A">
        <w:rPr>
          <w:rFonts w:ascii="Tahoma" w:eastAsia="Times New Roman" w:hAnsi="Tahoma" w:cs="Tahoma"/>
          <w:szCs w:val="24"/>
          <w:lang w:eastAsia="it-IT"/>
        </w:rPr>
        <w:t xml:space="preserve"> </w:t>
      </w:r>
    </w:p>
    <w:p w:rsidR="00AE5AC0" w:rsidRPr="00F635BF" w:rsidRDefault="0080055A" w:rsidP="00AE5AC0">
      <w:pPr>
        <w:shd w:val="clear" w:color="auto" w:fill="FFFFFF"/>
        <w:spacing w:after="0" w:line="360" w:lineRule="auto"/>
        <w:jc w:val="both"/>
        <w:rPr>
          <w:rFonts w:ascii="Tahoma" w:eastAsia="Times New Roman" w:hAnsi="Tahoma" w:cs="Tahoma"/>
          <w:szCs w:val="24"/>
          <w:lang w:eastAsia="it-IT"/>
        </w:rPr>
      </w:pPr>
      <w:r>
        <w:rPr>
          <w:rFonts w:ascii="Tahoma" w:eastAsia="Times New Roman" w:hAnsi="Tahoma" w:cs="Tahoma"/>
          <w:szCs w:val="24"/>
          <w:lang w:eastAsia="it-IT"/>
        </w:rPr>
        <w:t>R</w:t>
      </w:r>
      <w:r w:rsidR="00AE5AC0" w:rsidRPr="00F635BF">
        <w:rPr>
          <w:rFonts w:ascii="Tahoma" w:eastAsia="Times New Roman" w:hAnsi="Tahoma" w:cs="Tahoma"/>
          <w:szCs w:val="24"/>
          <w:lang w:eastAsia="it-IT"/>
        </w:rPr>
        <w:t>icordiamo che a partire dal 1° febbraio 2010, invece, è entrata in vigore la norma di prodotto EN 14351-1 valida per la</w:t>
      </w:r>
      <w:r w:rsidR="00AE5AC0" w:rsidRPr="00AE5AC0">
        <w:rPr>
          <w:rFonts w:ascii="Tahoma" w:eastAsia="Times New Roman" w:hAnsi="Tahoma" w:cs="Tahoma"/>
          <w:b/>
          <w:bCs/>
          <w:szCs w:val="24"/>
          <w:lang w:eastAsia="it-IT"/>
        </w:rPr>
        <w:t xml:space="preserve"> marcatura CE di serramenti, porte e cancelli</w:t>
      </w:r>
      <w:r w:rsidR="00AE5AC0" w:rsidRPr="00F635BF">
        <w:rPr>
          <w:rFonts w:ascii="Tahoma" w:eastAsia="Times New Roman" w:hAnsi="Tahoma" w:cs="Tahoma"/>
          <w:szCs w:val="24"/>
          <w:lang w:eastAsia="it-IT"/>
        </w:rPr>
        <w:t xml:space="preserve">. La Norma stabilisce i diversi sistemi di attestazione di conformità in funzione della destinazione d’uso. </w:t>
      </w:r>
    </w:p>
    <w:p w:rsidR="00AE5AC0" w:rsidRPr="00F635BF" w:rsidRDefault="00AE5AC0" w:rsidP="00AE5AC0">
      <w:pPr>
        <w:shd w:val="clear" w:color="auto" w:fill="FFFFFF"/>
        <w:spacing w:after="0" w:line="360" w:lineRule="auto"/>
        <w:jc w:val="both"/>
        <w:rPr>
          <w:rFonts w:ascii="Tahoma" w:eastAsia="Times New Roman" w:hAnsi="Tahoma" w:cs="Tahoma"/>
          <w:szCs w:val="24"/>
          <w:lang w:eastAsia="it-IT"/>
        </w:rPr>
      </w:pPr>
      <w:r w:rsidRPr="00F635BF">
        <w:rPr>
          <w:rFonts w:ascii="Tahoma" w:eastAsia="Times New Roman" w:hAnsi="Tahoma" w:cs="Tahoma"/>
          <w:szCs w:val="24"/>
          <w:lang w:eastAsia="it-IT"/>
        </w:rPr>
        <w:t> </w:t>
      </w:r>
    </w:p>
    <w:p w:rsidR="00AE5AC0" w:rsidRPr="00F635BF" w:rsidRDefault="00AE5AC0" w:rsidP="00AE5AC0">
      <w:pPr>
        <w:shd w:val="clear" w:color="auto" w:fill="FFFFFF"/>
        <w:spacing w:after="0" w:line="360" w:lineRule="auto"/>
        <w:jc w:val="both"/>
        <w:rPr>
          <w:rFonts w:ascii="Tahoma" w:eastAsia="Times New Roman" w:hAnsi="Tahoma" w:cs="Tahoma"/>
          <w:szCs w:val="24"/>
          <w:lang w:eastAsia="it-IT"/>
        </w:rPr>
      </w:pPr>
      <w:r w:rsidRPr="0080055A">
        <w:rPr>
          <w:rFonts w:ascii="Tahoma" w:eastAsia="Times New Roman" w:hAnsi="Tahoma" w:cs="Tahoma"/>
          <w:b/>
          <w:bCs/>
          <w:color w:val="FF0000"/>
          <w:szCs w:val="24"/>
          <w:lang w:eastAsia="it-IT"/>
        </w:rPr>
        <w:t>Gli obblighi previsti per il fabbricante che rientra nel SAC 1, da effettuare presso un Organismo Notificato, sono</w:t>
      </w:r>
      <w:r w:rsidRPr="00AE5AC0">
        <w:rPr>
          <w:rFonts w:ascii="Tahoma" w:eastAsia="Times New Roman" w:hAnsi="Tahoma" w:cs="Tahoma"/>
          <w:b/>
          <w:bCs/>
          <w:szCs w:val="24"/>
          <w:lang w:eastAsia="it-IT"/>
        </w:rPr>
        <w:t>:</w:t>
      </w:r>
      <w:r w:rsidRPr="00F635BF">
        <w:rPr>
          <w:rFonts w:ascii="Tahoma" w:eastAsia="Times New Roman" w:hAnsi="Tahoma" w:cs="Tahoma"/>
          <w:b/>
          <w:bCs/>
          <w:szCs w:val="24"/>
          <w:lang w:eastAsia="it-IT"/>
        </w:rPr>
        <w:br/>
      </w:r>
      <w:r w:rsidRPr="00F635BF">
        <w:rPr>
          <w:rFonts w:ascii="Tahoma" w:eastAsia="Times New Roman" w:hAnsi="Tahoma" w:cs="Tahoma"/>
          <w:szCs w:val="24"/>
          <w:lang w:eastAsia="it-IT"/>
        </w:rPr>
        <w:t>• Esecuzione di prove iniziali di tipo  (ITT)</w:t>
      </w:r>
    </w:p>
    <w:p w:rsidR="00AE5AC0" w:rsidRPr="00F635BF" w:rsidRDefault="00AE5AC0" w:rsidP="00AE5AC0">
      <w:pPr>
        <w:shd w:val="clear" w:color="auto" w:fill="FFFFFF"/>
        <w:spacing w:after="0" w:line="360" w:lineRule="auto"/>
        <w:jc w:val="both"/>
        <w:rPr>
          <w:rFonts w:ascii="Tahoma" w:eastAsia="Times New Roman" w:hAnsi="Tahoma" w:cs="Tahoma"/>
          <w:szCs w:val="24"/>
          <w:lang w:eastAsia="it-IT"/>
        </w:rPr>
      </w:pPr>
      <w:r w:rsidRPr="00F635BF">
        <w:rPr>
          <w:rFonts w:ascii="Tahoma" w:eastAsia="Times New Roman" w:hAnsi="Tahoma" w:cs="Tahoma"/>
          <w:szCs w:val="24"/>
          <w:lang w:eastAsia="it-IT"/>
        </w:rPr>
        <w:t xml:space="preserve">• Esecuzione della misura delle forze di manovra prima dell’esecuzione delle prove di </w:t>
      </w:r>
      <w:r w:rsidRPr="00F635BF">
        <w:rPr>
          <w:rFonts w:ascii="Tahoma" w:eastAsia="Times New Roman" w:hAnsi="Tahoma" w:cs="Tahoma"/>
          <w:szCs w:val="24"/>
          <w:lang w:eastAsia="it-IT"/>
        </w:rPr>
        <w:lastRenderedPageBreak/>
        <w:t>permeabilità all’aria, tenuta all’acqua e resistenza al vento viene eseguita per verificare che le regolazioni eseguite sul campione in prova garantiscano la definizione di uscita di emergenza secondo le prescrizioni delle norma UNI EN 1125:2008 e, per il mercato Italiano, che il campione in prova soddisfi le richieste del paragrafo 8.1.1 del D.M. 236 del 14/06/1989.</w:t>
      </w:r>
    </w:p>
    <w:p w:rsidR="00AE5AC0" w:rsidRPr="00F635BF" w:rsidRDefault="00AE5AC0" w:rsidP="00AE5AC0">
      <w:pPr>
        <w:shd w:val="clear" w:color="auto" w:fill="FFFFFF"/>
        <w:spacing w:after="0" w:line="360" w:lineRule="auto"/>
        <w:jc w:val="both"/>
        <w:rPr>
          <w:rFonts w:ascii="Tahoma" w:eastAsia="Times New Roman" w:hAnsi="Tahoma" w:cs="Tahoma"/>
          <w:szCs w:val="24"/>
          <w:lang w:eastAsia="it-IT"/>
        </w:rPr>
      </w:pPr>
      <w:r w:rsidRPr="00F635BF">
        <w:rPr>
          <w:rFonts w:ascii="Tahoma" w:eastAsia="Times New Roman" w:hAnsi="Tahoma" w:cs="Tahoma"/>
          <w:szCs w:val="24"/>
          <w:lang w:eastAsia="it-IT"/>
        </w:rPr>
        <w:t xml:space="preserve">• Ispezione iniziale della fabbrica  e sorveglianza continua del controllo di produzione (FPC). </w:t>
      </w:r>
    </w:p>
    <w:p w:rsidR="00AE5AC0" w:rsidRPr="00F635BF" w:rsidRDefault="00AE5AC0" w:rsidP="00AE5AC0">
      <w:pPr>
        <w:shd w:val="clear" w:color="auto" w:fill="FFFFFF"/>
        <w:spacing w:after="0" w:line="360" w:lineRule="auto"/>
        <w:jc w:val="both"/>
        <w:rPr>
          <w:rFonts w:ascii="Tahoma" w:eastAsia="Times New Roman" w:hAnsi="Tahoma" w:cs="Tahoma"/>
          <w:szCs w:val="24"/>
          <w:lang w:eastAsia="it-IT"/>
        </w:rPr>
      </w:pPr>
      <w:r w:rsidRPr="00F635BF">
        <w:rPr>
          <w:rFonts w:ascii="Tahoma" w:eastAsia="Times New Roman" w:hAnsi="Tahoma" w:cs="Tahoma"/>
          <w:szCs w:val="24"/>
          <w:lang w:eastAsia="it-IT"/>
        </w:rPr>
        <w:t> </w:t>
      </w:r>
    </w:p>
    <w:p w:rsidR="00AE5AC0" w:rsidRPr="00F635BF" w:rsidRDefault="00AE5AC0" w:rsidP="00AE5AC0">
      <w:pPr>
        <w:shd w:val="clear" w:color="auto" w:fill="FFFFFF"/>
        <w:spacing w:after="0" w:line="360" w:lineRule="auto"/>
        <w:jc w:val="both"/>
        <w:rPr>
          <w:rFonts w:ascii="Tahoma" w:eastAsia="Times New Roman" w:hAnsi="Tahoma" w:cs="Tahoma"/>
          <w:color w:val="FF0000"/>
          <w:szCs w:val="24"/>
          <w:lang w:eastAsia="it-IT"/>
        </w:rPr>
      </w:pPr>
      <w:r w:rsidRPr="0080055A">
        <w:rPr>
          <w:rFonts w:ascii="Tahoma" w:eastAsia="Times New Roman" w:hAnsi="Tahoma" w:cs="Tahoma"/>
          <w:b/>
          <w:bCs/>
          <w:color w:val="FF0000"/>
          <w:szCs w:val="24"/>
          <w:lang w:eastAsia="it-IT"/>
        </w:rPr>
        <w:t>Quali prodotti rientrano nelle vie di fuga?</w:t>
      </w:r>
    </w:p>
    <w:p w:rsidR="00AE5AC0" w:rsidRPr="00F635BF" w:rsidRDefault="00AE5AC0" w:rsidP="00AE5AC0">
      <w:pPr>
        <w:shd w:val="clear" w:color="auto" w:fill="FFFFFF"/>
        <w:spacing w:after="0" w:line="360" w:lineRule="auto"/>
        <w:jc w:val="both"/>
        <w:rPr>
          <w:rFonts w:ascii="Tahoma" w:eastAsia="Times New Roman" w:hAnsi="Tahoma" w:cs="Tahoma"/>
          <w:szCs w:val="24"/>
          <w:lang w:eastAsia="it-IT"/>
        </w:rPr>
      </w:pPr>
      <w:r w:rsidRPr="00F635BF">
        <w:rPr>
          <w:rFonts w:ascii="Tahoma" w:eastAsia="Times New Roman" w:hAnsi="Tahoma" w:cs="Tahoma"/>
          <w:szCs w:val="24"/>
          <w:lang w:eastAsia="it-IT"/>
        </w:rPr>
        <w:t xml:space="preserve">Il decreto del Ministero dell'Interno del 3 novembre 2004 “Disposizioni relative all'installazione ed alla manutenzione dei dispositivi per l'apertura delle porte installate lungo le vie di esodo, relativamente alla sicurezza in caso d'incendio” definisce all’art. 1 le vie di esodo (oppure di fuga) come segue: </w:t>
      </w:r>
    </w:p>
    <w:p w:rsidR="00AE5AC0" w:rsidRDefault="00AE5AC0" w:rsidP="00AE5AC0">
      <w:pPr>
        <w:shd w:val="clear" w:color="auto" w:fill="FFFFFF"/>
        <w:spacing w:after="0" w:line="360" w:lineRule="auto"/>
        <w:jc w:val="both"/>
        <w:rPr>
          <w:rFonts w:ascii="Tahoma" w:eastAsia="Times New Roman" w:hAnsi="Tahoma" w:cs="Tahoma"/>
          <w:b/>
          <w:bCs/>
          <w:i/>
          <w:iCs/>
          <w:szCs w:val="24"/>
          <w:lang w:eastAsia="it-IT"/>
        </w:rPr>
      </w:pPr>
      <w:r w:rsidRPr="00AE5AC0">
        <w:rPr>
          <w:rFonts w:ascii="Tahoma" w:eastAsia="Times New Roman" w:hAnsi="Tahoma" w:cs="Tahoma"/>
          <w:b/>
          <w:bCs/>
          <w:i/>
          <w:iCs/>
          <w:szCs w:val="24"/>
          <w:lang w:eastAsia="it-IT"/>
        </w:rPr>
        <w:t>“via di emergenza (o via di esodo, o di uscita, o di fuga): percorso senza ostacoli al deflusso che consente alle persone che occupano un edificio o un locale di raggiungere un luogo sicuro”.</w:t>
      </w:r>
    </w:p>
    <w:p w:rsidR="00D85D5E" w:rsidRDefault="00D85D5E" w:rsidP="0099751F">
      <w:pPr>
        <w:spacing w:after="0" w:line="360" w:lineRule="auto"/>
        <w:rPr>
          <w:rFonts w:ascii="Tahoma" w:eastAsia="Times New Roman" w:hAnsi="Tahoma" w:cs="Tahoma"/>
          <w:color w:val="FF0000"/>
          <w:sz w:val="32"/>
          <w:szCs w:val="24"/>
          <w:lang w:eastAsia="it-IT"/>
        </w:rPr>
      </w:pPr>
    </w:p>
    <w:p w:rsidR="0099751F" w:rsidRPr="0099751F" w:rsidRDefault="0099751F" w:rsidP="0099751F">
      <w:pPr>
        <w:spacing w:after="0" w:line="360" w:lineRule="auto"/>
        <w:rPr>
          <w:rFonts w:ascii="Tahoma" w:eastAsia="Times New Roman" w:hAnsi="Tahoma" w:cs="Tahoma"/>
          <w:b/>
          <w:bCs/>
          <w:color w:val="FF0000"/>
          <w:sz w:val="28"/>
          <w:szCs w:val="21"/>
          <w:lang w:eastAsia="it-IT"/>
        </w:rPr>
      </w:pPr>
      <w:r w:rsidRPr="0099751F">
        <w:rPr>
          <w:rFonts w:ascii="Tahoma" w:eastAsia="Times New Roman" w:hAnsi="Tahoma" w:cs="Tahoma"/>
          <w:color w:val="FF0000"/>
          <w:sz w:val="32"/>
          <w:szCs w:val="24"/>
          <w:lang w:eastAsia="it-IT"/>
        </w:rPr>
        <w:t>2)</w:t>
      </w:r>
      <w:r w:rsidRPr="0099751F">
        <w:rPr>
          <w:rFonts w:ascii="Tahoma" w:eastAsia="Times New Roman" w:hAnsi="Tahoma" w:cs="Tahoma"/>
          <w:b/>
          <w:bCs/>
          <w:color w:val="FF0000"/>
          <w:sz w:val="28"/>
          <w:szCs w:val="21"/>
          <w:lang w:eastAsia="it-IT"/>
        </w:rPr>
        <w:t xml:space="preserve"> Prodotti edili: nuove norme di etichettatura</w:t>
      </w:r>
    </w:p>
    <w:tbl>
      <w:tblPr>
        <w:tblW w:w="0" w:type="auto"/>
        <w:tblCellSpacing w:w="0" w:type="dxa"/>
        <w:tblCellMar>
          <w:left w:w="0" w:type="dxa"/>
          <w:right w:w="0" w:type="dxa"/>
        </w:tblCellMar>
        <w:tblLook w:val="04A0"/>
      </w:tblPr>
      <w:tblGrid>
        <w:gridCol w:w="4465"/>
      </w:tblGrid>
      <w:tr w:rsidR="0099751F" w:rsidRPr="00133A0A" w:rsidTr="00947983">
        <w:trPr>
          <w:tblCellSpacing w:w="0" w:type="dxa"/>
        </w:trPr>
        <w:tc>
          <w:tcPr>
            <w:tcW w:w="0" w:type="auto"/>
            <w:vAlign w:val="center"/>
            <w:hideMark/>
          </w:tcPr>
          <w:p w:rsidR="0099751F" w:rsidRPr="0099751F" w:rsidRDefault="0099751F" w:rsidP="0099751F">
            <w:pPr>
              <w:spacing w:after="0" w:line="360" w:lineRule="auto"/>
              <w:jc w:val="both"/>
              <w:rPr>
                <w:rFonts w:ascii="Tahoma" w:eastAsia="Times New Roman" w:hAnsi="Tahoma" w:cs="Tahoma"/>
                <w:color w:val="333333"/>
                <w:szCs w:val="17"/>
                <w:lang w:eastAsia="it-IT"/>
              </w:rPr>
            </w:pPr>
            <w:r w:rsidRPr="0099751F">
              <w:rPr>
                <w:rFonts w:ascii="Tahoma" w:eastAsia="Times New Roman" w:hAnsi="Tahoma" w:cs="Tahoma"/>
                <w:color w:val="333333"/>
                <w:szCs w:val="17"/>
                <w:lang w:eastAsia="it-IT"/>
              </w:rPr>
              <w:t xml:space="preserve">Approvato un </w:t>
            </w:r>
            <w:r w:rsidRPr="00FF013F">
              <w:rPr>
                <w:rFonts w:ascii="Tahoma" w:eastAsia="Times New Roman" w:hAnsi="Tahoma" w:cs="Tahoma"/>
                <w:b/>
                <w:color w:val="333333"/>
                <w:szCs w:val="17"/>
                <w:lang w:eastAsia="it-IT"/>
              </w:rPr>
              <w:t>nuovo regolamento sull'etichettatura dei prodotti edili contenenti sostanze pericolose</w:t>
            </w:r>
            <w:r w:rsidRPr="0099751F">
              <w:rPr>
                <w:rFonts w:ascii="Tahoma" w:eastAsia="Times New Roman" w:hAnsi="Tahoma" w:cs="Tahoma"/>
                <w:color w:val="333333"/>
                <w:szCs w:val="17"/>
                <w:lang w:eastAsia="it-IT"/>
              </w:rPr>
              <w:t xml:space="preserve">. Prevede </w:t>
            </w:r>
            <w:r w:rsidRPr="0099751F">
              <w:rPr>
                <w:rFonts w:ascii="Tahoma" w:eastAsia="Times New Roman" w:hAnsi="Tahoma" w:cs="Tahoma"/>
                <w:color w:val="333333"/>
                <w:szCs w:val="17"/>
                <w:lang w:eastAsia="it-IT"/>
              </w:rPr>
              <w:lastRenderedPageBreak/>
              <w:t xml:space="preserve">l'inserimento delle informazioni previste dal </w:t>
            </w:r>
            <w:proofErr w:type="spellStart"/>
            <w:r w:rsidRPr="0099751F">
              <w:rPr>
                <w:rFonts w:ascii="Tahoma" w:eastAsia="Times New Roman" w:hAnsi="Tahoma" w:cs="Tahoma"/>
                <w:color w:val="333333"/>
                <w:szCs w:val="17"/>
                <w:lang w:eastAsia="it-IT"/>
              </w:rPr>
              <w:t>Reach</w:t>
            </w:r>
            <w:proofErr w:type="spellEnd"/>
            <w:r w:rsidRPr="0099751F">
              <w:rPr>
                <w:rFonts w:ascii="Tahoma" w:eastAsia="Times New Roman" w:hAnsi="Tahoma" w:cs="Tahoma"/>
                <w:color w:val="333333"/>
                <w:szCs w:val="17"/>
                <w:lang w:eastAsia="it-IT"/>
              </w:rPr>
              <w:t>. Procedure semplificate per le micro imprese.</w:t>
            </w:r>
          </w:p>
          <w:p w:rsidR="0099751F" w:rsidRDefault="0099751F" w:rsidP="0099751F">
            <w:pPr>
              <w:spacing w:after="0" w:line="360" w:lineRule="auto"/>
              <w:jc w:val="both"/>
              <w:rPr>
                <w:rFonts w:ascii="Tahoma" w:eastAsia="Times New Roman" w:hAnsi="Tahoma" w:cs="Tahoma"/>
                <w:b/>
                <w:color w:val="333333"/>
                <w:szCs w:val="17"/>
                <w:lang w:eastAsia="it-IT"/>
              </w:rPr>
            </w:pPr>
            <w:r w:rsidRPr="0099751F">
              <w:rPr>
                <w:rFonts w:ascii="Tahoma" w:eastAsia="Times New Roman" w:hAnsi="Tahoma" w:cs="Tahoma"/>
                <w:color w:val="333333"/>
                <w:szCs w:val="17"/>
                <w:lang w:eastAsia="it-IT"/>
              </w:rPr>
              <w:t xml:space="preserve">Nel quadro di un nuovo regolamento relativo alla vendita a livello Ue di prodotti da costruzione, approvato dal Parlamento durante la plenaria di martedì 18 gennaio a seguito di un accordo raggiunto con il </w:t>
            </w:r>
            <w:r w:rsidRPr="00FF013F">
              <w:rPr>
                <w:rFonts w:ascii="Tahoma" w:eastAsia="Times New Roman" w:hAnsi="Tahoma" w:cs="Tahoma"/>
                <w:b/>
                <w:color w:val="333333"/>
                <w:szCs w:val="17"/>
                <w:lang w:eastAsia="it-IT"/>
              </w:rPr>
              <w:t xml:space="preserve">Consiglio, i prodotti destinati all'edilizia dovranno includere informazioni sulle sostanze pericolose, come richiesto dal regolamento </w:t>
            </w:r>
            <w:proofErr w:type="spellStart"/>
            <w:r w:rsidRPr="00FF013F">
              <w:rPr>
                <w:rFonts w:ascii="Tahoma" w:eastAsia="Times New Roman" w:hAnsi="Tahoma" w:cs="Tahoma"/>
                <w:b/>
                <w:color w:val="333333"/>
                <w:szCs w:val="17"/>
                <w:lang w:eastAsia="it-IT"/>
              </w:rPr>
              <w:t>Reach</w:t>
            </w:r>
            <w:proofErr w:type="spellEnd"/>
            <w:r w:rsidRPr="00FF013F">
              <w:rPr>
                <w:rFonts w:ascii="Tahoma" w:eastAsia="Times New Roman" w:hAnsi="Tahoma" w:cs="Tahoma"/>
                <w:b/>
                <w:color w:val="333333"/>
                <w:szCs w:val="17"/>
                <w:lang w:eastAsia="it-IT"/>
              </w:rPr>
              <w:t xml:space="preserve"> del 2006, in modo da soddisfare gli standard di salute e sicurezza e rendere chiaro il contenuto a tutti gli utenti. </w:t>
            </w:r>
          </w:p>
          <w:p w:rsidR="00FF013F" w:rsidRPr="00FF013F" w:rsidRDefault="00FF013F" w:rsidP="0099751F">
            <w:pPr>
              <w:spacing w:after="0" w:line="360" w:lineRule="auto"/>
              <w:jc w:val="both"/>
              <w:rPr>
                <w:rFonts w:ascii="Tahoma" w:eastAsia="Times New Roman" w:hAnsi="Tahoma" w:cs="Tahoma"/>
                <w:b/>
                <w:color w:val="333333"/>
                <w:szCs w:val="17"/>
                <w:lang w:eastAsia="it-IT"/>
              </w:rPr>
            </w:pPr>
          </w:p>
          <w:p w:rsidR="0099751F" w:rsidRDefault="0099751F" w:rsidP="0099751F">
            <w:pPr>
              <w:spacing w:after="0" w:line="360" w:lineRule="auto"/>
              <w:jc w:val="both"/>
              <w:rPr>
                <w:rFonts w:ascii="Tahoma" w:eastAsia="Times New Roman" w:hAnsi="Tahoma" w:cs="Tahoma"/>
                <w:color w:val="333333"/>
                <w:szCs w:val="17"/>
                <w:lang w:eastAsia="it-IT"/>
              </w:rPr>
            </w:pPr>
            <w:r w:rsidRPr="0099751F">
              <w:rPr>
                <w:rFonts w:ascii="Tahoma" w:eastAsia="Times New Roman" w:hAnsi="Tahoma" w:cs="Tahoma"/>
                <w:color w:val="333333"/>
                <w:szCs w:val="17"/>
                <w:lang w:eastAsia="it-IT"/>
              </w:rPr>
              <w:t>Per le micro imprese saranno sviluppate procedure semplificate di valutazione dei loro prodotti, a condizione che questi beni siano conformi alle norme armonizzate dell'Ue. </w:t>
            </w:r>
          </w:p>
          <w:p w:rsidR="00FF013F" w:rsidRPr="0099751F" w:rsidRDefault="00FF013F" w:rsidP="0099751F">
            <w:pPr>
              <w:spacing w:after="0" w:line="360" w:lineRule="auto"/>
              <w:jc w:val="both"/>
              <w:rPr>
                <w:rFonts w:ascii="Tahoma" w:eastAsia="Times New Roman" w:hAnsi="Tahoma" w:cs="Tahoma"/>
                <w:color w:val="333333"/>
                <w:szCs w:val="17"/>
                <w:lang w:eastAsia="it-IT"/>
              </w:rPr>
            </w:pPr>
          </w:p>
          <w:p w:rsidR="0099751F" w:rsidRDefault="0099751F" w:rsidP="0099751F">
            <w:pPr>
              <w:spacing w:after="0" w:line="360" w:lineRule="auto"/>
              <w:jc w:val="both"/>
              <w:rPr>
                <w:rFonts w:ascii="Tahoma" w:eastAsia="Times New Roman" w:hAnsi="Tahoma" w:cs="Tahoma"/>
                <w:color w:val="333333"/>
                <w:szCs w:val="17"/>
                <w:lang w:eastAsia="it-IT"/>
              </w:rPr>
            </w:pPr>
            <w:r w:rsidRPr="0099751F">
              <w:rPr>
                <w:rFonts w:ascii="Tahoma" w:eastAsia="Times New Roman" w:hAnsi="Tahoma" w:cs="Tahoma"/>
                <w:color w:val="333333"/>
                <w:szCs w:val="17"/>
                <w:lang w:eastAsia="it-IT"/>
              </w:rPr>
              <w:t xml:space="preserve">Gli Stati membri devono inoltre designare </w:t>
            </w:r>
            <w:proofErr w:type="spellStart"/>
            <w:r w:rsidRPr="0099751F">
              <w:rPr>
                <w:rFonts w:ascii="Tahoma" w:eastAsia="Times New Roman" w:hAnsi="Tahoma" w:cs="Tahoma"/>
                <w:color w:val="333333"/>
                <w:szCs w:val="17"/>
                <w:lang w:eastAsia="it-IT"/>
              </w:rPr>
              <w:t>Product</w:t>
            </w:r>
            <w:proofErr w:type="spellEnd"/>
            <w:r w:rsidRPr="0099751F">
              <w:rPr>
                <w:rFonts w:ascii="Tahoma" w:eastAsia="Times New Roman" w:hAnsi="Tahoma" w:cs="Tahoma"/>
                <w:color w:val="333333"/>
                <w:szCs w:val="17"/>
                <w:lang w:eastAsia="it-IT"/>
              </w:rPr>
              <w:t xml:space="preserve"> </w:t>
            </w:r>
            <w:proofErr w:type="spellStart"/>
            <w:r w:rsidRPr="0099751F">
              <w:rPr>
                <w:rFonts w:ascii="Tahoma" w:eastAsia="Times New Roman" w:hAnsi="Tahoma" w:cs="Tahoma"/>
                <w:color w:val="333333"/>
                <w:szCs w:val="17"/>
                <w:lang w:eastAsia="it-IT"/>
              </w:rPr>
              <w:t>Contact</w:t>
            </w:r>
            <w:proofErr w:type="spellEnd"/>
            <w:r w:rsidRPr="0099751F">
              <w:rPr>
                <w:rFonts w:ascii="Tahoma" w:eastAsia="Times New Roman" w:hAnsi="Tahoma" w:cs="Tahoma"/>
                <w:color w:val="333333"/>
                <w:szCs w:val="17"/>
                <w:lang w:eastAsia="it-IT"/>
              </w:rPr>
              <w:t xml:space="preserve"> Point per fornire informazioni sui prodotti da costruzione ed il loro uso a titolo gratuito e dovranno mostrarsi imparziali per quanto riguarda il processo di ottenimento della marcatura Ce. </w:t>
            </w:r>
          </w:p>
          <w:p w:rsidR="00580C15" w:rsidRDefault="00580C15" w:rsidP="0099751F">
            <w:pPr>
              <w:spacing w:after="0" w:line="360" w:lineRule="auto"/>
              <w:jc w:val="both"/>
              <w:rPr>
                <w:rFonts w:ascii="Tahoma" w:eastAsia="Times New Roman" w:hAnsi="Tahoma" w:cs="Tahoma"/>
                <w:color w:val="333333"/>
                <w:szCs w:val="17"/>
                <w:lang w:eastAsia="it-IT"/>
              </w:rPr>
            </w:pPr>
          </w:p>
          <w:p w:rsidR="0099751F" w:rsidRDefault="0099751F" w:rsidP="0099751F">
            <w:pPr>
              <w:spacing w:after="0" w:line="360" w:lineRule="auto"/>
              <w:jc w:val="both"/>
              <w:rPr>
                <w:rFonts w:ascii="Tahoma" w:eastAsia="Times New Roman" w:hAnsi="Tahoma" w:cs="Tahoma"/>
                <w:color w:val="333333"/>
                <w:szCs w:val="17"/>
                <w:lang w:eastAsia="it-IT"/>
              </w:rPr>
            </w:pPr>
            <w:r w:rsidRPr="0099751F">
              <w:rPr>
                <w:rFonts w:ascii="Tahoma" w:eastAsia="Times New Roman" w:hAnsi="Tahoma" w:cs="Tahoma"/>
                <w:color w:val="333333"/>
                <w:szCs w:val="17"/>
                <w:lang w:eastAsia="it-IT"/>
              </w:rPr>
              <w:t>Prodotti da costruzione fabbricati in modo tradizionale o in modo adeguato alla conservazione del patrimonio, in un processo non industriale possono essere esentati dalla regola della dichiarazione di prestazione. </w:t>
            </w:r>
          </w:p>
          <w:p w:rsidR="00FF013F" w:rsidRPr="0099751F" w:rsidRDefault="00FF013F" w:rsidP="0099751F">
            <w:pPr>
              <w:spacing w:after="0" w:line="360" w:lineRule="auto"/>
              <w:jc w:val="both"/>
              <w:rPr>
                <w:rFonts w:ascii="Tahoma" w:eastAsia="Times New Roman" w:hAnsi="Tahoma" w:cs="Tahoma"/>
                <w:color w:val="333333"/>
                <w:szCs w:val="17"/>
                <w:lang w:eastAsia="it-IT"/>
              </w:rPr>
            </w:pPr>
          </w:p>
          <w:p w:rsidR="0099751F" w:rsidRDefault="0099751F" w:rsidP="0099751F">
            <w:pPr>
              <w:spacing w:after="0" w:line="360" w:lineRule="auto"/>
              <w:jc w:val="both"/>
              <w:rPr>
                <w:rFonts w:ascii="Tahoma" w:eastAsia="Times New Roman" w:hAnsi="Tahoma" w:cs="Tahoma"/>
                <w:color w:val="333333"/>
                <w:szCs w:val="17"/>
                <w:lang w:eastAsia="it-IT"/>
              </w:rPr>
            </w:pPr>
            <w:r w:rsidRPr="0099751F">
              <w:rPr>
                <w:rFonts w:ascii="Tahoma" w:eastAsia="Times New Roman" w:hAnsi="Tahoma" w:cs="Tahoma"/>
                <w:color w:val="333333"/>
                <w:szCs w:val="17"/>
                <w:lang w:eastAsia="it-IT"/>
              </w:rPr>
              <w:t xml:space="preserve">Altre modifiche si riferiscono alla tutela </w:t>
            </w:r>
            <w:r w:rsidRPr="0099751F">
              <w:rPr>
                <w:rFonts w:ascii="Tahoma" w:eastAsia="Times New Roman" w:hAnsi="Tahoma" w:cs="Tahoma"/>
                <w:color w:val="333333"/>
                <w:szCs w:val="17"/>
                <w:lang w:eastAsia="it-IT"/>
              </w:rPr>
              <w:lastRenderedPageBreak/>
              <w:t>dell'ambiente, al riciclaggio dei prodotti da costruzione e mirano alla necessità di tener conto della salute e della sicurezza durante l'intero ciclo di vita del prodotto da costruzione nel valutare le sue prestazioni. </w:t>
            </w:r>
          </w:p>
          <w:p w:rsidR="00FF013F" w:rsidRPr="0099751F" w:rsidRDefault="00FF013F" w:rsidP="0099751F">
            <w:pPr>
              <w:spacing w:after="0" w:line="360" w:lineRule="auto"/>
              <w:jc w:val="both"/>
              <w:rPr>
                <w:rFonts w:ascii="Tahoma" w:eastAsia="Times New Roman" w:hAnsi="Tahoma" w:cs="Tahoma"/>
                <w:color w:val="333333"/>
                <w:szCs w:val="17"/>
                <w:lang w:eastAsia="it-IT"/>
              </w:rPr>
            </w:pPr>
          </w:p>
          <w:p w:rsidR="0099751F" w:rsidRDefault="0099751F" w:rsidP="0099751F">
            <w:pPr>
              <w:spacing w:after="0" w:line="360" w:lineRule="auto"/>
              <w:jc w:val="both"/>
              <w:rPr>
                <w:rFonts w:ascii="Tahoma" w:eastAsia="Times New Roman" w:hAnsi="Tahoma" w:cs="Tahoma"/>
                <w:color w:val="333333"/>
                <w:szCs w:val="17"/>
                <w:lang w:eastAsia="it-IT"/>
              </w:rPr>
            </w:pPr>
            <w:r w:rsidRPr="00FF013F">
              <w:rPr>
                <w:rFonts w:ascii="Tahoma" w:eastAsia="Times New Roman" w:hAnsi="Tahoma" w:cs="Tahoma"/>
                <w:color w:val="333333"/>
                <w:szCs w:val="17"/>
                <w:u w:val="single"/>
                <w:lang w:eastAsia="it-IT"/>
              </w:rPr>
              <w:t>Il regolamento entrerà ufficialmente in vigore 20 giorni dopo la pubblicazione nella Gazzetta ufficiale dell'Ue</w:t>
            </w:r>
            <w:r w:rsidRPr="0099751F">
              <w:rPr>
                <w:rFonts w:ascii="Tahoma" w:eastAsia="Times New Roman" w:hAnsi="Tahoma" w:cs="Tahoma"/>
                <w:color w:val="333333"/>
                <w:szCs w:val="17"/>
                <w:lang w:eastAsia="it-IT"/>
              </w:rPr>
              <w:t>. </w:t>
            </w:r>
          </w:p>
          <w:p w:rsidR="00FF013F" w:rsidRPr="0099751F" w:rsidRDefault="00FF013F" w:rsidP="0099751F">
            <w:pPr>
              <w:spacing w:after="0" w:line="360" w:lineRule="auto"/>
              <w:jc w:val="both"/>
              <w:rPr>
                <w:rFonts w:ascii="Tahoma" w:eastAsia="Times New Roman" w:hAnsi="Tahoma" w:cs="Tahoma"/>
                <w:color w:val="333333"/>
                <w:szCs w:val="17"/>
                <w:lang w:eastAsia="it-IT"/>
              </w:rPr>
            </w:pPr>
          </w:p>
          <w:p w:rsidR="0099751F" w:rsidRPr="0099751F" w:rsidRDefault="0099751F" w:rsidP="0099751F">
            <w:pPr>
              <w:spacing w:after="0" w:line="360" w:lineRule="auto"/>
              <w:jc w:val="both"/>
              <w:rPr>
                <w:rFonts w:ascii="Tahoma" w:eastAsia="Times New Roman" w:hAnsi="Tahoma" w:cs="Tahoma"/>
                <w:color w:val="333333"/>
                <w:szCs w:val="17"/>
                <w:lang w:eastAsia="it-IT"/>
              </w:rPr>
            </w:pPr>
            <w:r w:rsidRPr="0099751F">
              <w:rPr>
                <w:rFonts w:ascii="Tahoma" w:eastAsia="Times New Roman" w:hAnsi="Tahoma" w:cs="Tahoma"/>
                <w:color w:val="333333"/>
                <w:szCs w:val="17"/>
                <w:lang w:eastAsia="it-IT"/>
              </w:rPr>
              <w:t xml:space="preserve">Tuttavia, </w:t>
            </w:r>
            <w:r w:rsidRPr="00FF013F">
              <w:rPr>
                <w:rFonts w:ascii="Tahoma" w:eastAsia="Times New Roman" w:hAnsi="Tahoma" w:cs="Tahoma"/>
                <w:b/>
                <w:color w:val="333333"/>
                <w:szCs w:val="17"/>
                <w:lang w:eastAsia="it-IT"/>
              </w:rPr>
              <w:t>molte delle disposizioni si applicano solo a partire dal primo luglio 2013</w:t>
            </w:r>
            <w:r w:rsidRPr="0099751F">
              <w:rPr>
                <w:rFonts w:ascii="Tahoma" w:eastAsia="Times New Roman" w:hAnsi="Tahoma" w:cs="Tahoma"/>
                <w:color w:val="333333"/>
                <w:szCs w:val="17"/>
                <w:lang w:eastAsia="it-IT"/>
              </w:rPr>
              <w:t>, per permettere alle aziende di avere tempo per adeguarsi. </w:t>
            </w:r>
          </w:p>
          <w:p w:rsidR="0099751F" w:rsidRPr="0099751F" w:rsidRDefault="0099751F" w:rsidP="00947983">
            <w:pPr>
              <w:spacing w:after="0" w:line="360" w:lineRule="auto"/>
              <w:rPr>
                <w:rFonts w:ascii="Tahoma" w:eastAsia="Times New Roman" w:hAnsi="Tahoma" w:cs="Tahoma"/>
                <w:color w:val="333333"/>
                <w:sz w:val="17"/>
                <w:szCs w:val="17"/>
                <w:lang w:eastAsia="it-IT"/>
              </w:rPr>
            </w:pPr>
          </w:p>
        </w:tc>
      </w:tr>
    </w:tbl>
    <w:p w:rsidR="00AE5AC0" w:rsidRDefault="004C0063" w:rsidP="00C67F4C">
      <w:pPr>
        <w:spacing w:after="0" w:line="240" w:lineRule="auto"/>
        <w:jc w:val="both"/>
        <w:rPr>
          <w:rFonts w:ascii="Arial" w:hAnsi="Arial" w:cs="Arial"/>
        </w:rPr>
      </w:pPr>
      <w:r>
        <w:rPr>
          <w:rFonts w:ascii="Arial" w:hAnsi="Arial" w:cs="Arial"/>
          <w:noProof/>
          <w:lang w:eastAsia="it-IT"/>
        </w:rPr>
        <w:lastRenderedPageBreak/>
        <w:drawing>
          <wp:anchor distT="0" distB="0" distL="114300" distR="114300" simplePos="0" relativeHeight="251664384" behindDoc="0" locked="0" layoutInCell="1" allowOverlap="1">
            <wp:simplePos x="0" y="0"/>
            <wp:positionH relativeFrom="column">
              <wp:posOffset>222885</wp:posOffset>
            </wp:positionH>
            <wp:positionV relativeFrom="paragraph">
              <wp:posOffset>41275</wp:posOffset>
            </wp:positionV>
            <wp:extent cx="5972175" cy="4438650"/>
            <wp:effectExtent l="19050" t="0" r="9525" b="0"/>
            <wp:wrapNone/>
            <wp:docPr id="2" name="Immagine 1" descr="pag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 10.png"/>
                    <pic:cNvPicPr/>
                  </pic:nvPicPr>
                  <pic:blipFill>
                    <a:blip r:embed="rId7" cstate="print"/>
                    <a:stretch>
                      <a:fillRect/>
                    </a:stretch>
                  </pic:blipFill>
                  <pic:spPr>
                    <a:xfrm>
                      <a:off x="0" y="0"/>
                      <a:ext cx="5972175" cy="4438650"/>
                    </a:xfrm>
                    <a:prstGeom prst="rect">
                      <a:avLst/>
                    </a:prstGeom>
                  </pic:spPr>
                </pic:pic>
              </a:graphicData>
            </a:graphic>
          </wp:anchor>
        </w:drawing>
      </w:r>
    </w:p>
    <w:p w:rsidR="00AE5AC0" w:rsidRDefault="00AE5AC0" w:rsidP="00C67F4C">
      <w:pPr>
        <w:spacing w:after="0" w:line="240" w:lineRule="auto"/>
        <w:jc w:val="both"/>
        <w:rPr>
          <w:rFonts w:ascii="Arial" w:hAnsi="Arial" w:cs="Arial"/>
        </w:rPr>
      </w:pPr>
    </w:p>
    <w:p w:rsidR="00080FD3" w:rsidRDefault="00080FD3"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C67F4C">
      <w:pPr>
        <w:spacing w:after="0" w:line="195" w:lineRule="atLeast"/>
        <w:jc w:val="both"/>
        <w:rPr>
          <w:rFonts w:eastAsia="Times New Roman" w:cstheme="minorHAnsi"/>
          <w:color w:val="17365D" w:themeColor="text2" w:themeShade="BF"/>
          <w:sz w:val="28"/>
          <w:szCs w:val="24"/>
          <w:lang w:eastAsia="it-IT"/>
        </w:rPr>
      </w:pPr>
    </w:p>
    <w:p w:rsidR="00580C15" w:rsidRDefault="00580C15" w:rsidP="00580C15">
      <w:pPr>
        <w:spacing w:after="0" w:line="195" w:lineRule="atLeast"/>
        <w:jc w:val="both"/>
        <w:rPr>
          <w:rFonts w:ascii="Trebuchet MS" w:eastAsia="Times New Roman" w:hAnsi="Trebuchet MS" w:cs="Times New Roman"/>
          <w:color w:val="333333"/>
          <w:szCs w:val="17"/>
          <w:lang w:eastAsia="it-IT"/>
        </w:rPr>
      </w:pPr>
    </w:p>
    <w:p w:rsidR="00580C15" w:rsidRDefault="00C60837" w:rsidP="00580C15">
      <w:pPr>
        <w:spacing w:after="0" w:line="195" w:lineRule="atLeast"/>
        <w:jc w:val="both"/>
        <w:rPr>
          <w:rFonts w:ascii="Trebuchet MS" w:eastAsia="Times New Roman" w:hAnsi="Trebuchet MS" w:cs="Times New Roman"/>
          <w:color w:val="333333"/>
          <w:szCs w:val="17"/>
          <w:lang w:eastAsia="it-IT"/>
        </w:rPr>
      </w:pPr>
      <w:r w:rsidRPr="00C60837">
        <w:rPr>
          <w:rFonts w:eastAsia="Times New Roman" w:cstheme="minorHAnsi"/>
          <w:noProof/>
          <w:color w:val="17365D" w:themeColor="text2" w:themeShade="BF"/>
          <w:sz w:val="28"/>
          <w:szCs w:val="24"/>
          <w:lang w:eastAsia="it-IT"/>
        </w:rPr>
        <w:pict>
          <v:shapetype id="_x0000_t202" coordsize="21600,21600" o:spt="202" path="m,l,21600r21600,l21600,xe">
            <v:stroke joinstyle="miter"/>
            <v:path gradientshapeok="t" o:connecttype="rect"/>
          </v:shapetype>
          <v:shape id="_x0000_s1026" type="#_x0000_t202" style="position:absolute;left:0;text-align:left;margin-left:-3.45pt;margin-top:21.65pt;width:504.75pt;height:55.5pt;z-index:251663360">
            <v:textbox>
              <w:txbxContent>
                <w:p w:rsidR="00580C15" w:rsidRDefault="00580C15" w:rsidP="00580C15">
                  <w:pPr>
                    <w:spacing w:after="0" w:line="195" w:lineRule="atLeast"/>
                    <w:jc w:val="center"/>
                    <w:rPr>
                      <w:rFonts w:ascii="Trebuchet MS" w:eastAsia="Times New Roman" w:hAnsi="Trebuchet MS" w:cs="Times New Roman"/>
                      <w:b/>
                      <w:color w:val="333333"/>
                      <w:szCs w:val="17"/>
                      <w:lang w:eastAsia="it-IT"/>
                    </w:rPr>
                  </w:pPr>
                  <w:r w:rsidRPr="00580C15">
                    <w:rPr>
                      <w:rFonts w:ascii="Trebuchet MS" w:eastAsia="Times New Roman" w:hAnsi="Trebuchet MS" w:cs="Times New Roman"/>
                      <w:b/>
                      <w:color w:val="333333"/>
                      <w:szCs w:val="17"/>
                      <w:lang w:eastAsia="it-IT"/>
                    </w:rPr>
                    <w:t xml:space="preserve">p.za Gerusalemme 1 – 20154 Milano - Tel. 02 31800106 - Fax  02 34536987  - </w:t>
                  </w:r>
                </w:p>
                <w:p w:rsidR="00580C15" w:rsidRPr="00580C15" w:rsidRDefault="00580C15" w:rsidP="00580C15">
                  <w:pPr>
                    <w:spacing w:after="0" w:line="195" w:lineRule="atLeast"/>
                    <w:jc w:val="center"/>
                    <w:rPr>
                      <w:rFonts w:ascii="Trebuchet MS" w:eastAsia="Times New Roman" w:hAnsi="Trebuchet MS" w:cs="Times New Roman"/>
                      <w:b/>
                      <w:color w:val="333333"/>
                      <w:szCs w:val="17"/>
                      <w:lang w:eastAsia="it-IT"/>
                    </w:rPr>
                  </w:pPr>
                  <w:r w:rsidRPr="00580C15">
                    <w:rPr>
                      <w:rFonts w:ascii="Trebuchet MS" w:eastAsia="Times New Roman" w:hAnsi="Trebuchet MS" w:cs="Times New Roman"/>
                      <w:b/>
                      <w:color w:val="333333"/>
                      <w:szCs w:val="17"/>
                      <w:lang w:eastAsia="it-IT"/>
                    </w:rPr>
                    <w:t>Mobile 393 3265594</w:t>
                  </w:r>
                  <w:r>
                    <w:rPr>
                      <w:rFonts w:ascii="Trebuchet MS" w:eastAsia="Times New Roman" w:hAnsi="Trebuchet MS" w:cs="Times New Roman"/>
                      <w:b/>
                      <w:color w:val="333333"/>
                      <w:szCs w:val="17"/>
                      <w:lang w:eastAsia="it-IT"/>
                    </w:rPr>
                    <w:t xml:space="preserve"> – 393 6470296</w:t>
                  </w:r>
                </w:p>
                <w:p w:rsidR="00580C15" w:rsidRPr="00580C15" w:rsidRDefault="00C60837" w:rsidP="00580C15">
                  <w:pPr>
                    <w:spacing w:after="0" w:line="195" w:lineRule="atLeast"/>
                    <w:jc w:val="center"/>
                    <w:rPr>
                      <w:rFonts w:ascii="Trebuchet MS" w:eastAsia="Times New Roman" w:hAnsi="Trebuchet MS" w:cs="Times New Roman"/>
                      <w:b/>
                      <w:color w:val="333333"/>
                      <w:szCs w:val="17"/>
                      <w:lang w:eastAsia="it-IT"/>
                    </w:rPr>
                  </w:pPr>
                  <w:hyperlink r:id="rId8" w:history="1">
                    <w:r w:rsidR="00580C15" w:rsidRPr="00580C15">
                      <w:rPr>
                        <w:rStyle w:val="Collegamentoipertestuale"/>
                        <w:b/>
                      </w:rPr>
                      <w:t>info@colaianniconsulting.it</w:t>
                    </w:r>
                  </w:hyperlink>
                  <w:r w:rsidR="00580C15" w:rsidRPr="00580C15">
                    <w:rPr>
                      <w:b/>
                    </w:rPr>
                    <w:t xml:space="preserve">  - </w:t>
                  </w:r>
                  <w:hyperlink r:id="rId9" w:history="1">
                    <w:r w:rsidR="00580C15" w:rsidRPr="00580C15">
                      <w:rPr>
                        <w:rStyle w:val="Collegamentoipertestuale"/>
                        <w:b/>
                      </w:rPr>
                      <w:t>www.colaianniconsulting.it</w:t>
                    </w:r>
                  </w:hyperlink>
                  <w:r w:rsidR="00580C15" w:rsidRPr="00580C15">
                    <w:rPr>
                      <w:b/>
                    </w:rPr>
                    <w:t xml:space="preserve"> – http://colaianniconsulting.myblog.it</w:t>
                  </w:r>
                </w:p>
                <w:p w:rsidR="00580C15" w:rsidRDefault="00580C15" w:rsidP="00580C15">
                  <w:pPr>
                    <w:jc w:val="center"/>
                  </w:pPr>
                </w:p>
              </w:txbxContent>
            </v:textbox>
          </v:shape>
        </w:pict>
      </w:r>
    </w:p>
    <w:sectPr w:rsidR="00580C15" w:rsidSect="00884F98">
      <w:pgSz w:w="11906" w:h="16838"/>
      <w:pgMar w:top="1417" w:right="1134"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2E8"/>
    <w:multiLevelType w:val="multilevel"/>
    <w:tmpl w:val="1748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110FE"/>
    <w:multiLevelType w:val="hybridMultilevel"/>
    <w:tmpl w:val="1B281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2C4EDA"/>
    <w:multiLevelType w:val="multilevel"/>
    <w:tmpl w:val="7A4A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01FA2"/>
    <w:multiLevelType w:val="multilevel"/>
    <w:tmpl w:val="97A4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816AE"/>
    <w:multiLevelType w:val="multilevel"/>
    <w:tmpl w:val="A168B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A0C98"/>
    <w:multiLevelType w:val="multilevel"/>
    <w:tmpl w:val="A90A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44680"/>
    <w:multiLevelType w:val="hybridMultilevel"/>
    <w:tmpl w:val="E2F46C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540439"/>
    <w:multiLevelType w:val="multilevel"/>
    <w:tmpl w:val="76A8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D052BA"/>
    <w:multiLevelType w:val="multilevel"/>
    <w:tmpl w:val="E366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CC1B68"/>
    <w:multiLevelType w:val="multilevel"/>
    <w:tmpl w:val="39D2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608F9"/>
    <w:multiLevelType w:val="multilevel"/>
    <w:tmpl w:val="AF8C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C34258"/>
    <w:multiLevelType w:val="multilevel"/>
    <w:tmpl w:val="F86A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9"/>
  </w:num>
  <w:num w:numId="4">
    <w:abstractNumId w:val="4"/>
  </w:num>
  <w:num w:numId="5">
    <w:abstractNumId w:val="2"/>
  </w:num>
  <w:num w:numId="6">
    <w:abstractNumId w:val="10"/>
  </w:num>
  <w:num w:numId="7">
    <w:abstractNumId w:val="11"/>
  </w:num>
  <w:num w:numId="8">
    <w:abstractNumId w:val="0"/>
  </w:num>
  <w:num w:numId="9">
    <w:abstractNumId w:val="5"/>
  </w:num>
  <w:num w:numId="10">
    <w:abstractNumId w:val="7"/>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0A91"/>
    <w:rsid w:val="0000585D"/>
    <w:rsid w:val="00033154"/>
    <w:rsid w:val="00054351"/>
    <w:rsid w:val="0006020C"/>
    <w:rsid w:val="00080FD3"/>
    <w:rsid w:val="001D16D2"/>
    <w:rsid w:val="00235739"/>
    <w:rsid w:val="002619B6"/>
    <w:rsid w:val="002E5379"/>
    <w:rsid w:val="00314B7A"/>
    <w:rsid w:val="003456C5"/>
    <w:rsid w:val="004070AF"/>
    <w:rsid w:val="004C0063"/>
    <w:rsid w:val="00580C15"/>
    <w:rsid w:val="005F3AFE"/>
    <w:rsid w:val="00614A4E"/>
    <w:rsid w:val="00650A91"/>
    <w:rsid w:val="006A1C0B"/>
    <w:rsid w:val="006A2428"/>
    <w:rsid w:val="0080055A"/>
    <w:rsid w:val="008254E3"/>
    <w:rsid w:val="00884F98"/>
    <w:rsid w:val="00917BED"/>
    <w:rsid w:val="00996DA2"/>
    <w:rsid w:val="0099751F"/>
    <w:rsid w:val="009C0CFC"/>
    <w:rsid w:val="00AE5AC0"/>
    <w:rsid w:val="00B15042"/>
    <w:rsid w:val="00C162AA"/>
    <w:rsid w:val="00C60837"/>
    <w:rsid w:val="00C67F4C"/>
    <w:rsid w:val="00CA263C"/>
    <w:rsid w:val="00CC3AFE"/>
    <w:rsid w:val="00D3303D"/>
    <w:rsid w:val="00D85D5E"/>
    <w:rsid w:val="00E37CF8"/>
    <w:rsid w:val="00EF4279"/>
    <w:rsid w:val="00EF4867"/>
    <w:rsid w:val="00FB125D"/>
    <w:rsid w:val="00FF01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7BED"/>
  </w:style>
  <w:style w:type="paragraph" w:styleId="Titolo1">
    <w:name w:val="heading 1"/>
    <w:basedOn w:val="Normale"/>
    <w:link w:val="Titolo1Carattere"/>
    <w:uiPriority w:val="9"/>
    <w:qFormat/>
    <w:rsid w:val="00650A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50A9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0A9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50A91"/>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650A91"/>
    <w:rPr>
      <w:color w:val="0000FF"/>
      <w:u w:val="single"/>
    </w:rPr>
  </w:style>
  <w:style w:type="paragraph" w:styleId="NormaleWeb">
    <w:name w:val="Normal (Web)"/>
    <w:basedOn w:val="Normale"/>
    <w:uiPriority w:val="99"/>
    <w:unhideWhenUsed/>
    <w:rsid w:val="00650A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3">
    <w:name w:val="toctoggle3"/>
    <w:basedOn w:val="Carpredefinitoparagrafo"/>
    <w:rsid w:val="00650A91"/>
    <w:rPr>
      <w:sz w:val="23"/>
      <w:szCs w:val="23"/>
    </w:rPr>
  </w:style>
  <w:style w:type="character" w:customStyle="1" w:styleId="tocnumber">
    <w:name w:val="tocnumber"/>
    <w:basedOn w:val="Carpredefinitoparagrafo"/>
    <w:rsid w:val="00650A91"/>
  </w:style>
  <w:style w:type="character" w:customStyle="1" w:styleId="toctext">
    <w:name w:val="toctext"/>
    <w:basedOn w:val="Carpredefinitoparagrafo"/>
    <w:rsid w:val="00650A91"/>
  </w:style>
  <w:style w:type="character" w:customStyle="1" w:styleId="mw-headline">
    <w:name w:val="mw-headline"/>
    <w:basedOn w:val="Carpredefinitoparagrafo"/>
    <w:rsid w:val="00650A91"/>
  </w:style>
  <w:style w:type="character" w:customStyle="1" w:styleId="editsection">
    <w:name w:val="editsection"/>
    <w:basedOn w:val="Carpredefinitoparagrafo"/>
    <w:rsid w:val="00650A91"/>
  </w:style>
  <w:style w:type="paragraph" w:styleId="Testofumetto">
    <w:name w:val="Balloon Text"/>
    <w:basedOn w:val="Normale"/>
    <w:link w:val="TestofumettoCarattere"/>
    <w:uiPriority w:val="99"/>
    <w:semiHidden/>
    <w:unhideWhenUsed/>
    <w:rsid w:val="00650A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0A91"/>
    <w:rPr>
      <w:rFonts w:ascii="Tahoma" w:hAnsi="Tahoma" w:cs="Tahoma"/>
      <w:sz w:val="16"/>
      <w:szCs w:val="16"/>
    </w:rPr>
  </w:style>
  <w:style w:type="paragraph" w:styleId="Paragrafoelenco">
    <w:name w:val="List Paragraph"/>
    <w:basedOn w:val="Normale"/>
    <w:uiPriority w:val="34"/>
    <w:qFormat/>
    <w:rsid w:val="001D16D2"/>
    <w:pPr>
      <w:ind w:left="720"/>
      <w:contextualSpacing/>
    </w:pPr>
  </w:style>
</w:styles>
</file>

<file path=word/webSettings.xml><?xml version="1.0" encoding="utf-8"?>
<w:webSettings xmlns:r="http://schemas.openxmlformats.org/officeDocument/2006/relationships" xmlns:w="http://schemas.openxmlformats.org/wordprocessingml/2006/main">
  <w:divs>
    <w:div w:id="1391921493">
      <w:bodyDiv w:val="1"/>
      <w:marLeft w:val="0"/>
      <w:marRight w:val="0"/>
      <w:marTop w:val="0"/>
      <w:marBottom w:val="0"/>
      <w:divBdr>
        <w:top w:val="none" w:sz="0" w:space="0" w:color="auto"/>
        <w:left w:val="none" w:sz="0" w:space="0" w:color="auto"/>
        <w:bottom w:val="none" w:sz="0" w:space="0" w:color="auto"/>
        <w:right w:val="none" w:sz="0" w:space="0" w:color="auto"/>
      </w:divBdr>
      <w:divsChild>
        <w:div w:id="671374725">
          <w:marLeft w:val="0"/>
          <w:marRight w:val="0"/>
          <w:marTop w:val="0"/>
          <w:marBottom w:val="0"/>
          <w:divBdr>
            <w:top w:val="none" w:sz="0" w:space="0" w:color="auto"/>
            <w:left w:val="none" w:sz="0" w:space="0" w:color="auto"/>
            <w:bottom w:val="none" w:sz="0" w:space="0" w:color="auto"/>
            <w:right w:val="none" w:sz="0" w:space="0" w:color="auto"/>
          </w:divBdr>
          <w:divsChild>
            <w:div w:id="296108304">
              <w:marLeft w:val="0"/>
              <w:marRight w:val="0"/>
              <w:marTop w:val="0"/>
              <w:marBottom w:val="0"/>
              <w:divBdr>
                <w:top w:val="none" w:sz="0" w:space="0" w:color="auto"/>
                <w:left w:val="none" w:sz="0" w:space="0" w:color="auto"/>
                <w:bottom w:val="none" w:sz="0" w:space="0" w:color="auto"/>
                <w:right w:val="none" w:sz="0" w:space="0" w:color="auto"/>
              </w:divBdr>
              <w:divsChild>
                <w:div w:id="1142817377">
                  <w:marLeft w:val="0"/>
                  <w:marRight w:val="0"/>
                  <w:marTop w:val="0"/>
                  <w:marBottom w:val="0"/>
                  <w:divBdr>
                    <w:top w:val="none" w:sz="0" w:space="0" w:color="auto"/>
                    <w:left w:val="none" w:sz="0" w:space="0" w:color="auto"/>
                    <w:bottom w:val="none" w:sz="0" w:space="0" w:color="auto"/>
                    <w:right w:val="none" w:sz="0" w:space="0" w:color="auto"/>
                  </w:divBdr>
                </w:div>
                <w:div w:id="1030960580">
                  <w:marLeft w:val="0"/>
                  <w:marRight w:val="0"/>
                  <w:marTop w:val="0"/>
                  <w:marBottom w:val="0"/>
                  <w:divBdr>
                    <w:top w:val="none" w:sz="0" w:space="0" w:color="auto"/>
                    <w:left w:val="none" w:sz="0" w:space="0" w:color="auto"/>
                    <w:bottom w:val="none" w:sz="0" w:space="0" w:color="auto"/>
                    <w:right w:val="none" w:sz="0" w:space="0" w:color="auto"/>
                  </w:divBdr>
                </w:div>
                <w:div w:id="867138045">
                  <w:marLeft w:val="120"/>
                  <w:marRight w:val="120"/>
                  <w:marTop w:val="120"/>
                  <w:marBottom w:val="120"/>
                  <w:divBdr>
                    <w:top w:val="none" w:sz="0" w:space="0" w:color="auto"/>
                    <w:left w:val="none" w:sz="0" w:space="0" w:color="auto"/>
                    <w:bottom w:val="none" w:sz="0" w:space="0" w:color="auto"/>
                    <w:right w:val="none" w:sz="0" w:space="0" w:color="auto"/>
                  </w:divBdr>
                  <w:divsChild>
                    <w:div w:id="403988051">
                      <w:marLeft w:val="0"/>
                      <w:marRight w:val="0"/>
                      <w:marTop w:val="0"/>
                      <w:marBottom w:val="0"/>
                      <w:divBdr>
                        <w:top w:val="none" w:sz="0" w:space="0" w:color="auto"/>
                        <w:left w:val="none" w:sz="0" w:space="0" w:color="auto"/>
                        <w:bottom w:val="none" w:sz="0" w:space="0" w:color="auto"/>
                        <w:right w:val="none" w:sz="0" w:space="0" w:color="auto"/>
                      </w:divBdr>
                      <w:divsChild>
                        <w:div w:id="1237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044">
                  <w:marLeft w:val="0"/>
                  <w:marRight w:val="0"/>
                  <w:marTop w:val="0"/>
                  <w:marBottom w:val="0"/>
                  <w:divBdr>
                    <w:top w:val="none" w:sz="0" w:space="0" w:color="auto"/>
                    <w:left w:val="none" w:sz="0" w:space="0" w:color="auto"/>
                    <w:bottom w:val="none" w:sz="0" w:space="0" w:color="auto"/>
                    <w:right w:val="none" w:sz="0" w:space="0" w:color="auto"/>
                  </w:divBdr>
                </w:div>
                <w:div w:id="445387484">
                  <w:marLeft w:val="30"/>
                  <w:marRight w:val="30"/>
                  <w:marTop w:val="30"/>
                  <w:marBottom w:val="30"/>
                  <w:divBdr>
                    <w:top w:val="none" w:sz="0" w:space="0" w:color="auto"/>
                    <w:left w:val="none" w:sz="0" w:space="0" w:color="auto"/>
                    <w:bottom w:val="none" w:sz="0" w:space="0" w:color="auto"/>
                    <w:right w:val="none" w:sz="0" w:space="0" w:color="auto"/>
                  </w:divBdr>
                  <w:divsChild>
                    <w:div w:id="519779006">
                      <w:marLeft w:val="30"/>
                      <w:marRight w:val="30"/>
                      <w:marTop w:val="30"/>
                      <w:marBottom w:val="30"/>
                      <w:divBdr>
                        <w:top w:val="single" w:sz="6" w:space="0" w:color="CCCCCC"/>
                        <w:left w:val="single" w:sz="6" w:space="0" w:color="CCCCCC"/>
                        <w:bottom w:val="single" w:sz="6" w:space="0" w:color="CCCCCC"/>
                        <w:right w:val="single" w:sz="6" w:space="0" w:color="CCCCCC"/>
                      </w:divBdr>
                      <w:divsChild>
                        <w:div w:id="179901999">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849025133">
                      <w:marLeft w:val="0"/>
                      <w:marRight w:val="0"/>
                      <w:marTop w:val="0"/>
                      <w:marBottom w:val="0"/>
                      <w:divBdr>
                        <w:top w:val="none" w:sz="0" w:space="0" w:color="auto"/>
                        <w:left w:val="none" w:sz="0" w:space="0" w:color="auto"/>
                        <w:bottom w:val="none" w:sz="0" w:space="0" w:color="auto"/>
                        <w:right w:val="none" w:sz="0" w:space="0" w:color="auto"/>
                      </w:divBdr>
                    </w:div>
                  </w:divsChild>
                </w:div>
                <w:div w:id="1548252948">
                  <w:marLeft w:val="30"/>
                  <w:marRight w:val="30"/>
                  <w:marTop w:val="30"/>
                  <w:marBottom w:val="30"/>
                  <w:divBdr>
                    <w:top w:val="none" w:sz="0" w:space="0" w:color="auto"/>
                    <w:left w:val="none" w:sz="0" w:space="0" w:color="auto"/>
                    <w:bottom w:val="none" w:sz="0" w:space="0" w:color="auto"/>
                    <w:right w:val="none" w:sz="0" w:space="0" w:color="auto"/>
                  </w:divBdr>
                  <w:divsChild>
                    <w:div w:id="1713537004">
                      <w:marLeft w:val="30"/>
                      <w:marRight w:val="30"/>
                      <w:marTop w:val="30"/>
                      <w:marBottom w:val="30"/>
                      <w:divBdr>
                        <w:top w:val="single" w:sz="6" w:space="0" w:color="CCCCCC"/>
                        <w:left w:val="single" w:sz="6" w:space="0" w:color="CCCCCC"/>
                        <w:bottom w:val="single" w:sz="6" w:space="0" w:color="CCCCCC"/>
                        <w:right w:val="single" w:sz="6" w:space="0" w:color="CCCCCC"/>
                      </w:divBdr>
                      <w:divsChild>
                        <w:div w:id="60294243">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492111574">
                      <w:marLeft w:val="0"/>
                      <w:marRight w:val="0"/>
                      <w:marTop w:val="0"/>
                      <w:marBottom w:val="0"/>
                      <w:divBdr>
                        <w:top w:val="none" w:sz="0" w:space="0" w:color="auto"/>
                        <w:left w:val="none" w:sz="0" w:space="0" w:color="auto"/>
                        <w:bottom w:val="none" w:sz="0" w:space="0" w:color="auto"/>
                        <w:right w:val="none" w:sz="0" w:space="0" w:color="auto"/>
                      </w:divBdr>
                    </w:div>
                  </w:divsChild>
                </w:div>
                <w:div w:id="511460340">
                  <w:marLeft w:val="120"/>
                  <w:marRight w:val="120"/>
                  <w:marTop w:val="120"/>
                  <w:marBottom w:val="120"/>
                  <w:divBdr>
                    <w:top w:val="none" w:sz="0" w:space="0" w:color="auto"/>
                    <w:left w:val="none" w:sz="0" w:space="0" w:color="auto"/>
                    <w:bottom w:val="none" w:sz="0" w:space="0" w:color="auto"/>
                    <w:right w:val="none" w:sz="0" w:space="0" w:color="auto"/>
                  </w:divBdr>
                  <w:divsChild>
                    <w:div w:id="676615785">
                      <w:marLeft w:val="0"/>
                      <w:marRight w:val="0"/>
                      <w:marTop w:val="0"/>
                      <w:marBottom w:val="0"/>
                      <w:divBdr>
                        <w:top w:val="none" w:sz="0" w:space="0" w:color="auto"/>
                        <w:left w:val="none" w:sz="0" w:space="0" w:color="auto"/>
                        <w:bottom w:val="none" w:sz="0" w:space="0" w:color="auto"/>
                        <w:right w:val="none" w:sz="0" w:space="0" w:color="auto"/>
                      </w:divBdr>
                      <w:divsChild>
                        <w:div w:id="8530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laianniconsulting.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ordano.it/2c-94-safety.ph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aianniconsulti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marcello</cp:lastModifiedBy>
  <cp:revision>2</cp:revision>
  <cp:lastPrinted>2011-02-25T15:19:00Z</cp:lastPrinted>
  <dcterms:created xsi:type="dcterms:W3CDTF">2011-02-25T15:22:00Z</dcterms:created>
  <dcterms:modified xsi:type="dcterms:W3CDTF">2011-02-25T15:22:00Z</dcterms:modified>
</cp:coreProperties>
</file>